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A1" w:rsidRDefault="003E06A1" w:rsidP="007E443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ACTA 730</w:t>
      </w:r>
    </w:p>
    <w:p w:rsidR="003E06A1" w:rsidRDefault="003E06A1" w:rsidP="007E443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la localidad de Chabás, Departamento Caseros, Provincia de Santa Fe, siendo las 1</w:t>
      </w:r>
      <w:r w:rsidR="003551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.00 </w:t>
      </w:r>
      <w:r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hs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del día </w:t>
      </w:r>
      <w:r w:rsidR="007C20F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31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de diciembre de 2020, se reúnen en sesión ordinaria los miembros de la Comisión Comunal presidida por el Presidente, Dr. Lucas </w:t>
      </w:r>
      <w:r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Lesgart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el Vicepresidente Sr. Juan Carlos Vitali, Tesorera, Dra. María Jimena Severini, Vocal Titular Sr. </w:t>
      </w:r>
      <w:r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Venicio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P. Escobar, y Vocal Titular por la Minoría Osvaldo A Salomón, para tocar los siguientes temas: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3E06A1" w:rsidRDefault="003E06A1" w:rsidP="007E443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Lectura del acta anterior y aprobación de la misma.</w:t>
      </w:r>
    </w:p>
    <w:p w:rsidR="00DB2A79" w:rsidRPr="007E4436" w:rsidRDefault="007C20F3" w:rsidP="007E4436">
      <w:pPr>
        <w:pStyle w:val="Prrafodelista"/>
        <w:numPr>
          <w:ilvl w:val="0"/>
          <w:numId w:val="2"/>
        </w:numPr>
        <w:tabs>
          <w:tab w:val="left" w:pos="506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7E4436">
        <w:rPr>
          <w:rStyle w:val="normaltextrun"/>
          <w:rFonts w:cstheme="minorHAnsi"/>
          <w:b/>
          <w:bCs/>
          <w:u w:val="single"/>
        </w:rPr>
        <w:t>Ordenanza 1321</w:t>
      </w:r>
      <w:r w:rsidR="003E06A1" w:rsidRPr="007E4436">
        <w:rPr>
          <w:rStyle w:val="normaltextrun"/>
          <w:rFonts w:cstheme="minorHAnsi"/>
          <w:b/>
          <w:bCs/>
          <w:u w:val="single"/>
        </w:rPr>
        <w:t>/20:</w:t>
      </w:r>
      <w:r w:rsidR="003E06A1" w:rsidRPr="007E4436">
        <w:rPr>
          <w:rStyle w:val="normaltextrun"/>
          <w:rFonts w:cstheme="minorHAnsi"/>
        </w:rPr>
        <w:t xml:space="preserve"> </w:t>
      </w:r>
      <w:r w:rsidR="003551E0" w:rsidRPr="007E4436">
        <w:rPr>
          <w:rFonts w:eastAsia="Times New Roman" w:cstheme="minorHAnsi"/>
          <w:lang w:eastAsia="es-ES"/>
        </w:rPr>
        <w:t>Dispóngase la puesta en vigencia de tres (3) duodécimo del presupuesto general comunal del año 2020, para atender las erogaciones y necesidades financieras de la Administración Comunal durante los meses de enero, febrero y marzo del año 2021</w:t>
      </w:r>
    </w:p>
    <w:p w:rsidR="00BF0EF6" w:rsidRPr="00BF0EF6" w:rsidRDefault="00526660" w:rsidP="007E4436">
      <w:pPr>
        <w:pStyle w:val="Prrafodelista"/>
        <w:widowControl w:val="0"/>
        <w:numPr>
          <w:ilvl w:val="0"/>
          <w:numId w:val="2"/>
        </w:numPr>
        <w:tabs>
          <w:tab w:val="left" w:pos="5060"/>
        </w:tabs>
        <w:spacing w:after="0" w:line="360" w:lineRule="auto"/>
        <w:jc w:val="both"/>
        <w:rPr>
          <w:rFonts w:cstheme="minorHAnsi"/>
        </w:rPr>
      </w:pPr>
      <w:r w:rsidRPr="003551E0">
        <w:rPr>
          <w:rStyle w:val="normaltextrun"/>
          <w:rFonts w:cstheme="minorHAnsi"/>
          <w:b/>
          <w:bCs/>
          <w:u w:val="single"/>
        </w:rPr>
        <w:t>Ordenanza 1322/20:</w:t>
      </w:r>
      <w:r w:rsidRPr="003551E0">
        <w:rPr>
          <w:rFonts w:cstheme="minorHAnsi"/>
          <w:b/>
          <w:bCs/>
          <w:u w:val="single"/>
        </w:rPr>
        <w:t xml:space="preserve"> </w:t>
      </w:r>
      <w:r w:rsidRPr="003551E0">
        <w:rPr>
          <w:rFonts w:ascii="Calibri" w:eastAsia="Times New Roman" w:hAnsi="Calibri" w:cs="Calibri"/>
          <w:lang w:eastAsia="es-ES"/>
        </w:rPr>
        <w:t xml:space="preserve"> Dispóngase la prórroga de la Ordenanza tarifaria Nº 1271 y tributaria Nº 1272 del año 2020, por el mes de enero de 2021. </w:t>
      </w:r>
    </w:p>
    <w:p w:rsidR="00D2785C" w:rsidRPr="007E4436" w:rsidRDefault="00526660" w:rsidP="007E4436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lang w:val="es-MX" w:eastAsia="es-ES"/>
        </w:rPr>
      </w:pPr>
      <w:r w:rsidRPr="007E4436">
        <w:rPr>
          <w:rStyle w:val="normaltextrun"/>
          <w:rFonts w:cstheme="minorHAnsi"/>
          <w:b/>
          <w:bCs/>
          <w:u w:val="single"/>
        </w:rPr>
        <w:t>Ordenanza 1323</w:t>
      </w:r>
      <w:r w:rsidR="003E06A1" w:rsidRPr="007E4436">
        <w:rPr>
          <w:rStyle w:val="normaltextrun"/>
          <w:rFonts w:cstheme="minorHAnsi"/>
          <w:b/>
          <w:bCs/>
          <w:u w:val="single"/>
        </w:rPr>
        <w:t>/20</w:t>
      </w:r>
      <w:r w:rsidR="003E06A1" w:rsidRPr="007E4436">
        <w:rPr>
          <w:rStyle w:val="normaltextrun"/>
          <w:rFonts w:cstheme="minorHAnsi"/>
        </w:rPr>
        <w:t xml:space="preserve">: 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Conforme al llamado a licitación pública por Ordenanza Nº </w:t>
      </w:r>
      <w:r w:rsidR="00BF0EF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1320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/20, para la adquisición de </w:t>
      </w:r>
      <w:r w:rsidR="00BF0EF6" w:rsidRPr="007E4436">
        <w:rPr>
          <w:rFonts w:eastAsia="Times New Roman" w:cstheme="minorHAnsi"/>
          <w:snapToGrid w:val="0"/>
          <w:lang w:val="es-ES" w:eastAsia="es-ES"/>
        </w:rPr>
        <w:t>u</w:t>
      </w:r>
      <w:r w:rsidR="00BF0EF6" w:rsidRPr="007E4436">
        <w:rPr>
          <w:rFonts w:eastAsia="Times New Roman" w:cstheme="minorHAnsi"/>
          <w:lang w:val="es-MX" w:eastAsia="es-ES"/>
        </w:rPr>
        <w:t xml:space="preserve">n (1) recolector compactador nuevo, de carga trasera manual, mecanizada o mixta de </w:t>
      </w:r>
      <w:smartTag w:uri="urn:schemas-microsoft-com:office:smarttags" w:element="metricconverter">
        <w:smartTagPr>
          <w:attr w:name="ProductID" w:val="21 metros c￺bicos"/>
        </w:smartTagPr>
        <w:r w:rsidR="00BF0EF6" w:rsidRPr="007E4436">
          <w:rPr>
            <w:rFonts w:eastAsia="Times New Roman" w:cstheme="minorHAnsi"/>
            <w:lang w:val="es-MX" w:eastAsia="es-ES"/>
          </w:rPr>
          <w:t>21 metros cúbicos</w:t>
        </w:r>
      </w:smartTag>
      <w:r w:rsidR="00BF0EF6" w:rsidRPr="007E4436">
        <w:rPr>
          <w:rFonts w:eastAsia="Times New Roman" w:cstheme="minorHAnsi"/>
          <w:lang w:val="es-MX" w:eastAsia="es-ES"/>
        </w:rPr>
        <w:t>, apto para servicio de recole</w:t>
      </w:r>
      <w:r w:rsidR="00BF0EF6" w:rsidRPr="007E4436">
        <w:rPr>
          <w:rFonts w:eastAsia="Times New Roman" w:cstheme="minorHAnsi"/>
          <w:lang w:val="es-MX" w:eastAsia="es-ES"/>
        </w:rPr>
        <w:t>cción de residuos y descarga; y v</w:t>
      </w:r>
      <w:r w:rsidR="00BF0EF6" w:rsidRPr="007E4436">
        <w:rPr>
          <w:rFonts w:eastAsia="Times New Roman" w:cstheme="minorHAnsi"/>
          <w:lang w:val="es-MX" w:eastAsia="es-ES"/>
        </w:rPr>
        <w:t xml:space="preserve">einte (20) contenedores nuevos, de </w:t>
      </w:r>
      <w:smartTag w:uri="urn:schemas-microsoft-com:office:smarttags" w:element="metricconverter">
        <w:smartTagPr>
          <w:attr w:name="ProductID" w:val="1100 litros"/>
        </w:smartTagPr>
        <w:r w:rsidR="00BF0EF6" w:rsidRPr="007E4436">
          <w:rPr>
            <w:rFonts w:eastAsia="Times New Roman" w:cstheme="minorHAnsi"/>
            <w:lang w:val="es-MX" w:eastAsia="es-ES"/>
          </w:rPr>
          <w:t>1100 litros</w:t>
        </w:r>
      </w:smartTag>
      <w:r w:rsidR="00BF0EF6" w:rsidRPr="007E4436">
        <w:rPr>
          <w:rFonts w:eastAsia="Times New Roman" w:cstheme="minorHAnsi"/>
          <w:lang w:val="es-MX" w:eastAsia="es-ES"/>
        </w:rPr>
        <w:t>, tapa plana de polietileno de alta densidad, resistente a la descomposición, el hielo, el calor y productos químicos. Apto para</w:t>
      </w:r>
      <w:r w:rsidR="00BF0EF6" w:rsidRPr="007E4436">
        <w:rPr>
          <w:rFonts w:eastAsia="Times New Roman" w:cstheme="minorHAnsi"/>
          <w:lang w:val="es-MX" w:eastAsia="es-ES"/>
        </w:rPr>
        <w:t xml:space="preserve"> todos los equipos de elevación, s</w:t>
      </w:r>
      <w:r w:rsidR="003551E0" w:rsidRPr="007E4436">
        <w:rPr>
          <w:rFonts w:eastAsia="Times New Roman" w:cstheme="minorHAnsi"/>
          <w:snapToGrid w:val="0"/>
          <w:spacing w:val="-3"/>
          <w:lang w:eastAsia="es-ES"/>
        </w:rPr>
        <w:t xml:space="preserve">e 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procedió a la apertura de sobres el día 29 de diciembre, a las 9 hs, en sede comunal, presentándose 2 oferentes: </w:t>
      </w:r>
      <w:r w:rsidR="00BF0EF6" w:rsidRPr="007E4436">
        <w:rPr>
          <w:rFonts w:eastAsia="Times New Roman" w:cstheme="minorHAnsi"/>
          <w:lang w:val="es-MX" w:eastAsia="es-ES"/>
        </w:rPr>
        <w:t>Oscar Scorza equipos y servicios SRL (CUIT 30-70832128-8) y Luís J. D. Scorza y cía SA (CUIT 30-51973379-6)</w:t>
      </w:r>
      <w:r w:rsidR="00BF0EF6" w:rsidRPr="007E4436">
        <w:rPr>
          <w:rFonts w:eastAsia="Times New Roman" w:cstheme="minorHAnsi"/>
          <w:lang w:val="es-ES" w:eastAsia="es-ES"/>
        </w:rPr>
        <w:t>.</w:t>
      </w:r>
      <w:r w:rsidR="00BF0EF6" w:rsidRPr="007E4436">
        <w:rPr>
          <w:rFonts w:eastAsia="Times New Roman" w:cstheme="minorHAnsi"/>
          <w:lang w:val="es-ES" w:eastAsia="es-ES"/>
        </w:rPr>
        <w:t xml:space="preserve"> 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Sobre Nº 1</w:t>
      </w:r>
      <w:r w:rsidR="00BF0EF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:</w:t>
      </w:r>
      <w:r w:rsidR="00BF0EF6" w:rsidRPr="007E4436">
        <w:rPr>
          <w:rFonts w:eastAsia="Times New Roman" w:cstheme="minorHAnsi"/>
          <w:lang w:val="es-MX" w:eastAsia="es-ES"/>
        </w:rPr>
        <w:t xml:space="preserve"> </w:t>
      </w:r>
      <w:r w:rsidR="00BF0EF6" w:rsidRPr="007E4436">
        <w:rPr>
          <w:rFonts w:eastAsia="Times New Roman" w:cstheme="minorHAnsi"/>
          <w:lang w:val="es-MX" w:eastAsia="es-ES"/>
        </w:rPr>
        <w:t xml:space="preserve">Oscar Scorza equipos y servicios </w:t>
      </w:r>
      <w:r w:rsidR="007E4436" w:rsidRPr="007E4436">
        <w:rPr>
          <w:rFonts w:eastAsia="Times New Roman" w:cstheme="minorHAnsi"/>
          <w:lang w:val="es-MX" w:eastAsia="es-ES"/>
        </w:rPr>
        <w:t>SRL,</w:t>
      </w:r>
      <w:r w:rsidR="00BF0EF6" w:rsidRPr="007E4436">
        <w:rPr>
          <w:rFonts w:eastAsia="Times New Roman" w:cstheme="minorHAnsi"/>
          <w:lang w:val="es-MX" w:eastAsia="es-ES"/>
        </w:rPr>
        <w:t xml:space="preserve"> su oferta total es de</w:t>
      </w:r>
      <w:r w:rsidR="00BF0EF6" w:rsidRPr="007E4436">
        <w:rPr>
          <w:rFonts w:eastAsia="Times New Roman" w:cstheme="minorHAnsi"/>
          <w:lang w:val="es-MX" w:eastAsia="es-ES"/>
        </w:rPr>
        <w:t xml:space="preserve"> Pesos Tres Millones Quinientos Setenta y Dos Mil Quinientos Noventa y Tres ($3.572.593.-</w:t>
      </w:r>
      <w:r w:rsidR="007E4436" w:rsidRPr="007E4436">
        <w:rPr>
          <w:rFonts w:eastAsia="Times New Roman" w:cstheme="minorHAnsi"/>
          <w:lang w:val="es-MX" w:eastAsia="es-ES"/>
        </w:rPr>
        <w:t>).</w:t>
      </w:r>
      <w:r w:rsidR="007E443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 cumpliendo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 con toda la documentación </w:t>
      </w:r>
      <w:r w:rsidR="007E443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requerida;</w:t>
      </w:r>
      <w:r w:rsidR="00BF0EF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 y 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Sobre Nº 2: </w:t>
      </w:r>
      <w:r w:rsidR="00BF0EF6" w:rsidRPr="007E4436">
        <w:rPr>
          <w:rFonts w:eastAsia="Times New Roman" w:cstheme="minorHAnsi"/>
          <w:lang w:val="es-MX" w:eastAsia="es-ES"/>
        </w:rPr>
        <w:t>Luís J. D. Scorza y cía SA</w:t>
      </w:r>
      <w:r w:rsidR="00BF0EF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 </w:t>
      </w:r>
      <w:r w:rsidR="003551E0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cumpliendo con toda la documentación </w:t>
      </w:r>
      <w:bookmarkStart w:id="0" w:name="_GoBack"/>
      <w:bookmarkEnd w:id="0"/>
      <w:r w:rsidR="007E443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requerida,</w:t>
      </w:r>
      <w:r w:rsidR="00BF0EF6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 </w:t>
      </w:r>
      <w:r w:rsidR="00D2785C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>salvo</w:t>
      </w:r>
      <w:r w:rsidR="00BF0EF6" w:rsidRPr="007E4436">
        <w:rPr>
          <w:rFonts w:eastAsia="Times New Roman" w:cstheme="minorHAnsi"/>
          <w:lang w:val="es-MX" w:eastAsia="es-ES"/>
        </w:rPr>
        <w:t xml:space="preserve"> </w:t>
      </w:r>
      <w:r w:rsidR="00BF0EF6" w:rsidRPr="007E4436">
        <w:rPr>
          <w:rFonts w:eastAsia="Times New Roman" w:cstheme="minorHAnsi"/>
          <w:lang w:val="es-MX" w:eastAsia="es-ES"/>
        </w:rPr>
        <w:t xml:space="preserve">la oferta, como se advierte, </w:t>
      </w:r>
      <w:r w:rsidR="00D2785C" w:rsidRPr="007E4436">
        <w:rPr>
          <w:rFonts w:eastAsia="Times New Roman" w:cstheme="minorHAnsi"/>
          <w:lang w:val="es-MX" w:eastAsia="es-ES"/>
        </w:rPr>
        <w:t xml:space="preserve">que </w:t>
      </w:r>
      <w:r w:rsidR="00BF0EF6" w:rsidRPr="007E4436">
        <w:rPr>
          <w:rFonts w:eastAsia="Times New Roman" w:cstheme="minorHAnsi"/>
          <w:lang w:val="es-MX" w:eastAsia="es-ES"/>
        </w:rPr>
        <w:t>contiene co</w:t>
      </w:r>
      <w:r w:rsidR="00BF0EF6" w:rsidRPr="007E4436">
        <w:rPr>
          <w:rFonts w:eastAsia="Times New Roman" w:cstheme="minorHAnsi"/>
          <w:lang w:val="es-MX" w:eastAsia="es-ES"/>
        </w:rPr>
        <w:t>ntradicciones y escasa claridad. Frente a ello, se le da la oportunidad</w:t>
      </w:r>
      <w:r w:rsidR="00D2785C" w:rsidRPr="007E4436">
        <w:rPr>
          <w:rFonts w:eastAsia="Times New Roman" w:cstheme="minorHAnsi"/>
          <w:lang w:val="es-MX" w:eastAsia="es-ES"/>
        </w:rPr>
        <w:t xml:space="preserve"> al </w:t>
      </w:r>
      <w:r w:rsidR="00D2785C" w:rsidRPr="007E4436">
        <w:rPr>
          <w:rFonts w:eastAsia="Times New Roman" w:cstheme="minorHAnsi"/>
          <w:lang w:val="es-MX" w:eastAsia="es-ES"/>
        </w:rPr>
        <w:t>apoderado de la oferente</w:t>
      </w:r>
      <w:r w:rsidR="00BF0EF6" w:rsidRPr="007E4436">
        <w:rPr>
          <w:rFonts w:eastAsia="Times New Roman" w:cstheme="minorHAnsi"/>
          <w:lang w:val="es-MX" w:eastAsia="es-ES"/>
        </w:rPr>
        <w:t xml:space="preserve"> en el acto de apertura de </w:t>
      </w:r>
      <w:r w:rsidR="00D2785C" w:rsidRPr="007E4436">
        <w:rPr>
          <w:rFonts w:eastAsia="Times New Roman" w:cstheme="minorHAnsi"/>
          <w:lang w:val="es-MX" w:eastAsia="es-ES"/>
        </w:rPr>
        <w:t xml:space="preserve">hacer aclaraciones al respecto, pero la Comisión decide que según </w:t>
      </w:r>
      <w:r w:rsidR="00BF0EF6" w:rsidRPr="007E4436">
        <w:rPr>
          <w:rFonts w:eastAsia="Times New Roman" w:cstheme="minorHAnsi"/>
          <w:lang w:val="es-MX" w:eastAsia="es-ES"/>
        </w:rPr>
        <w:t>lo manifestado implica variar los términos de oferta en oportunidad poste</w:t>
      </w:r>
      <w:r w:rsidR="00D2785C" w:rsidRPr="007E4436">
        <w:rPr>
          <w:rFonts w:eastAsia="Times New Roman" w:cstheme="minorHAnsi"/>
          <w:lang w:val="es-MX" w:eastAsia="es-ES"/>
        </w:rPr>
        <w:t xml:space="preserve">rior a la fecha de presentación, por lo tanto se desestima la oferta presentada y se adjudica el objeto de licitación a </w:t>
      </w:r>
      <w:r w:rsidR="00D2785C" w:rsidRPr="007E4436">
        <w:rPr>
          <w:rFonts w:eastAsia="Times New Roman" w:cstheme="minorHAnsi"/>
          <w:bCs/>
          <w:snapToGrid w:val="0"/>
          <w:spacing w:val="-3"/>
          <w:lang w:val="es-ES_tradnl" w:eastAsia="es-ES"/>
        </w:rPr>
        <w:t xml:space="preserve">: </w:t>
      </w:r>
      <w:r w:rsidR="00D2785C" w:rsidRPr="007E4436">
        <w:rPr>
          <w:rFonts w:eastAsia="Times New Roman" w:cstheme="minorHAnsi"/>
          <w:lang w:val="es-MX" w:eastAsia="es-ES"/>
        </w:rPr>
        <w:t>Oscar Scorza equipos y servicios SRL (CUIT 30-70832128-8)</w:t>
      </w:r>
      <w:r w:rsidR="00D2785C" w:rsidRPr="007E4436">
        <w:rPr>
          <w:rFonts w:eastAsia="Times New Roman" w:cstheme="minorHAnsi"/>
          <w:lang w:val="es-MX" w:eastAsia="es-ES"/>
        </w:rPr>
        <w:t xml:space="preserve">, </w:t>
      </w:r>
      <w:r w:rsidR="007E4436" w:rsidRPr="007E4436">
        <w:rPr>
          <w:rFonts w:eastAsia="Times New Roman" w:cstheme="minorHAnsi"/>
          <w:lang w:val="es-MX" w:eastAsia="es-ES"/>
        </w:rPr>
        <w:t>autorizándose</w:t>
      </w:r>
      <w:r w:rsidR="00D2785C" w:rsidRPr="007E4436">
        <w:rPr>
          <w:rFonts w:eastAsia="Times New Roman" w:cstheme="minorHAnsi"/>
          <w:lang w:val="es-ES" w:eastAsia="es-ES"/>
        </w:rPr>
        <w:t xml:space="preserve"> el pago por parte de </w:t>
      </w:r>
      <w:smartTag w:uri="urn:schemas-microsoft-com:office:smarttags" w:element="PersonName">
        <w:smartTagPr>
          <w:attr w:name="ProductID" w:val="la Comuna"/>
        </w:smartTagPr>
        <w:r w:rsidR="00D2785C" w:rsidRPr="007E4436">
          <w:rPr>
            <w:rFonts w:eastAsia="Times New Roman" w:cstheme="minorHAnsi"/>
            <w:lang w:val="es-ES" w:eastAsia="es-ES"/>
          </w:rPr>
          <w:t>la Comuna</w:t>
        </w:r>
      </w:smartTag>
      <w:r w:rsidR="00D2785C" w:rsidRPr="007E4436">
        <w:rPr>
          <w:rFonts w:eastAsia="Times New Roman" w:cstheme="minorHAnsi"/>
          <w:lang w:val="es-ES" w:eastAsia="es-ES"/>
        </w:rPr>
        <w:t xml:space="preserve"> de Chabás a la empresa adjudicataria </w:t>
      </w:r>
      <w:r w:rsidR="00D2785C" w:rsidRPr="007E4436">
        <w:rPr>
          <w:rFonts w:eastAsia="Times New Roman" w:cstheme="minorHAnsi"/>
          <w:lang w:val="es-ES" w:eastAsia="es-ES"/>
        </w:rPr>
        <w:t xml:space="preserve">en </w:t>
      </w:r>
      <w:r w:rsidR="00D2785C" w:rsidRPr="007E4436">
        <w:rPr>
          <w:rFonts w:eastAsia="Times New Roman" w:cstheme="minorHAnsi"/>
          <w:lang w:val="es-ES" w:eastAsia="es-ES"/>
        </w:rPr>
        <w:t xml:space="preserve">la suma de </w:t>
      </w:r>
      <w:r w:rsidR="00D2785C" w:rsidRPr="007E4436">
        <w:rPr>
          <w:rFonts w:eastAsia="Times New Roman" w:cstheme="minorHAnsi"/>
          <w:lang w:val="es-MX" w:eastAsia="es-ES"/>
        </w:rPr>
        <w:t>Pesos Tres Millones Quinientos Setenta y Dos Mil Quinientos Noventa y Tres ($3.572.593.-), en las siguientes condiciones de pago: Entrega 50% con orden de compra y saldo en seis (6) cheques iguales, propios y consecutivos a 30, 60, 90, 120, 150 y 180 días.</w:t>
      </w:r>
    </w:p>
    <w:p w:rsidR="003E06A1" w:rsidRPr="003551E0" w:rsidRDefault="003E06A1" w:rsidP="007E4436">
      <w:pPr>
        <w:widowControl w:val="0"/>
        <w:tabs>
          <w:tab w:val="left" w:pos="5060"/>
        </w:tabs>
        <w:spacing w:after="0" w:line="360" w:lineRule="auto"/>
        <w:jc w:val="both"/>
        <w:rPr>
          <w:rFonts w:cstheme="minorHAnsi"/>
        </w:rPr>
      </w:pPr>
      <w:r w:rsidRPr="003551E0">
        <w:rPr>
          <w:rFonts w:cstheme="minorHAnsi"/>
        </w:rPr>
        <w:lastRenderedPageBreak/>
        <w:t>Sin más temas que tratar se da por finalizada la reunión, siendo las 13 hs.</w:t>
      </w:r>
    </w:p>
    <w:p w:rsidR="00F64E1D" w:rsidRDefault="00F64E1D" w:rsidP="00BF0EF6">
      <w:pPr>
        <w:spacing w:line="360" w:lineRule="auto"/>
        <w:jc w:val="both"/>
      </w:pPr>
    </w:p>
    <w:sectPr w:rsidR="00F6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6A3"/>
    <w:multiLevelType w:val="hybridMultilevel"/>
    <w:tmpl w:val="42680A36"/>
    <w:lvl w:ilvl="0" w:tplc="FBD6D96E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506"/>
    <w:multiLevelType w:val="hybridMultilevel"/>
    <w:tmpl w:val="DBDC3240"/>
    <w:lvl w:ilvl="0" w:tplc="6F2C66DE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0823"/>
    <w:multiLevelType w:val="hybridMultilevel"/>
    <w:tmpl w:val="27924F26"/>
    <w:lvl w:ilvl="0" w:tplc="2E560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A1"/>
    <w:rsid w:val="003551E0"/>
    <w:rsid w:val="003E06A1"/>
    <w:rsid w:val="00526660"/>
    <w:rsid w:val="007C20F3"/>
    <w:rsid w:val="007E4436"/>
    <w:rsid w:val="00BF0EF6"/>
    <w:rsid w:val="00D2785C"/>
    <w:rsid w:val="00DB2A79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68C3D"/>
  <w15:chartTrackingRefBased/>
  <w15:docId w15:val="{15ACD913-93F2-4CAB-AA84-FC9753A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6A1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3E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E0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3E06A1"/>
  </w:style>
  <w:style w:type="character" w:customStyle="1" w:styleId="eop">
    <w:name w:val="eop"/>
    <w:basedOn w:val="Fuentedeprrafopredeter"/>
    <w:rsid w:val="003E06A1"/>
  </w:style>
  <w:style w:type="character" w:customStyle="1" w:styleId="spellingerror">
    <w:name w:val="spellingerror"/>
    <w:basedOn w:val="Fuentedeprrafopredeter"/>
    <w:rsid w:val="003E06A1"/>
  </w:style>
  <w:style w:type="paragraph" w:styleId="Textodeglobo">
    <w:name w:val="Balloon Text"/>
    <w:basedOn w:val="Normal"/>
    <w:link w:val="TextodegloboCar"/>
    <w:uiPriority w:val="99"/>
    <w:semiHidden/>
    <w:unhideWhenUsed/>
    <w:rsid w:val="007E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</dc:creator>
  <cp:keywords/>
  <dc:description/>
  <cp:lastModifiedBy>Jime</cp:lastModifiedBy>
  <cp:revision>6</cp:revision>
  <cp:lastPrinted>2020-12-31T13:24:00Z</cp:lastPrinted>
  <dcterms:created xsi:type="dcterms:W3CDTF">2020-12-30T23:02:00Z</dcterms:created>
  <dcterms:modified xsi:type="dcterms:W3CDTF">2020-12-31T13:25:00Z</dcterms:modified>
</cp:coreProperties>
</file>